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78.png" ContentType="image/png"/>
  <Override PartName="/word/media/rId193.png" ContentType="image/png"/>
  <Override PartName="/word/media/rId159.png" ContentType="image/png"/>
  <Override PartName="/word/media/rId166.png" ContentType="image/png"/>
  <Override PartName="/word/media/rId183.png" ContentType="image/png"/>
  <Override PartName="/word/media/rId173.png" ContentType="image/png"/>
  <Override PartName="/word/media/rId188.png" ContentType="image/png"/>
  <Override PartName="/word/media/rId146.png" ContentType="image/png"/>
  <Override PartName="/word/media/rId130.png" ContentType="image/png"/>
  <Override PartName="/word/media/rId84.png" ContentType="image/png"/>
  <Override PartName="/word/media/rId113.png" ContentType="image/png"/>
  <Override PartName="/word/media/rId106.png" ContentType="image/png"/>
  <Override PartName="/word/media/rId124.png" ContentType="image/png"/>
  <Override PartName="/word/media/rId136.png" ContentType="image/png"/>
  <Override PartName="/word/media/rId92.png" ContentType="image/png"/>
  <Override PartName="/word/media/rId118.png" ContentType="image/png"/>
  <Override PartName="/word/media/rId100.png" ContentType="image/png"/>
  <Override PartName="/word/media/rId141.png" ContentType="image/png"/>
  <Override PartName="/word/media/rId150.png" ContentType="image/png"/>
  <Override PartName="/word/media/rId71.png" ContentType="image/png"/>
  <Override PartName="/word/media/rId55.png" ContentType="image/png"/>
  <Override PartName="/word/media/rId9.png" ContentType="image/png"/>
  <Override PartName="/word/media/rId38.png" ContentType="image/png"/>
  <Override PartName="/word/media/rId31.png" ContentType="image/png"/>
  <Override PartName="/word/media/rId49.png" ContentType="image/png"/>
  <Override PartName="/word/media/rId61.png" ContentType="image/png"/>
  <Override PartName="/word/media/rId17.png" ContentType="image/png"/>
  <Override PartName="/word/media/rId43.png" ContentType="image/png"/>
  <Override PartName="/word/media/rId25.png" ContentType="image/png"/>
  <Override PartName="/word/media/rId66.png" ContentType="image/png"/>
  <Override PartName="/word/media/rId7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98" w:name="商戶後台-merchant-admin-操作指南"/>
    <w:p>
      <w:pPr>
        <w:pStyle w:val="Heading1"/>
      </w:pPr>
      <w:r>
        <w:rPr>
          <w:rFonts w:hint="eastAsia"/>
        </w:rPr>
        <w:t xml:space="preserve">商戶後台</w:t>
      </w:r>
      <w:r>
        <w:t xml:space="preserve"> (Merchant Admin) </w:t>
      </w:r>
      <w:r>
        <w:rPr>
          <w:rFonts w:hint="eastAsia"/>
        </w:rPr>
        <w:t xml:space="preserve">操作指南</w:t>
      </w:r>
    </w:p>
    <w:p>
      <w:pPr>
        <w:pStyle w:val="FirstParagraph"/>
      </w:pPr>
      <w:r>
        <w:rPr>
          <w:rFonts w:hint="eastAsia"/>
        </w:rPr>
        <w:t xml:space="preserve">本手冊旨在引導商戶管理員熟悉「商戶後台」各項功能，並深入說明數據邏輯、欄位定義與交互操作流程。</w:t>
      </w:r>
    </w:p>
    <w:p>
      <w:r>
        <w:pict>
          <v:rect style="width:0;height:1.5pt" o:hralign="center" o:hrstd="t" o:hr="t"/>
        </w:pict>
      </w:r>
    </w:p>
    <w:bookmarkStart w:id="165" w:name="概覽-overview"/>
    <w:p>
      <w:pPr>
        <w:pStyle w:val="Heading2"/>
      </w:pPr>
      <w:r>
        <w:t xml:space="preserve">1. </w:t>
      </w:r>
      <w:r>
        <w:rPr>
          <w:rFonts w:hint="eastAsia"/>
        </w:rPr>
        <w:t xml:space="preserve">概覽</w:t>
      </w:r>
      <w:r>
        <w:t xml:space="preserve"> (Overview)</w:t>
      </w:r>
    </w:p>
    <w:bookmarkStart w:id="164" w:name="商戶儀表板-merchant-dashboard"/>
    <w:p>
      <w:pPr>
        <w:pStyle w:val="Heading3"/>
      </w:pPr>
      <w:r>
        <w:rPr>
          <w:rFonts w:hint="eastAsia"/>
        </w:rPr>
        <w:t xml:space="preserve">商戶儀表板</w:t>
      </w:r>
      <w:r>
        <w:t xml:space="preserve"> (Merchant Dashboard)</w:t>
      </w:r>
    </w:p>
    <w:p>
      <w:pPr>
        <w:pStyle w:val="FirstParagraph"/>
      </w:pPr>
      <w:r>
        <w:rPr>
          <w:rFonts w:hint="eastAsia"/>
        </w:rPr>
        <w:t xml:space="preserve">商戶管理員每日登入後的第一站，用於即時監控營運關鍵指標</w:t>
      </w:r>
      <w:r>
        <w:t xml:space="preserve"> (KPI)。</w:t>
      </w:r>
    </w:p>
    <w:p>
      <w:pPr>
        <w:pStyle w:val="CaptionedFigure"/>
      </w:pPr>
      <w:r>
        <w:drawing>
          <wp:inline>
            <wp:extent cx="5334000" cy="2391955"/>
            <wp:effectExtent b="0" l="0" r="0" t="0"/>
            <wp:docPr descr="商戶儀表板" title="" id="160" name="Picture"/>
            <a:graphic>
              <a:graphicData uri="http://schemas.openxmlformats.org/drawingml/2006/picture">
                <pic:pic>
                  <pic:nvPicPr>
                    <pic:cNvPr descr="file:///Users/cooperfu/.gemini/antigravity/brain/40999a8d-4c77-4e00-9055-0f89bca37aa7/merchant_dashboard_1769391511951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商戶儀表板</w:t>
      </w:r>
    </w:p>
    <w:bookmarkStart w:id="162" w:name="a.-數據中心-kpi-卡片"/>
    <w:p>
      <w:pPr>
        <w:pStyle w:val="Heading4"/>
      </w:pPr>
      <w:r>
        <w:t xml:space="preserve">A. </w:t>
      </w:r>
      <w:r>
        <w:rPr>
          <w:rFonts w:hint="eastAsia"/>
        </w:rPr>
        <w:t xml:space="preserve">數據中心</w:t>
      </w:r>
      <w:r>
        <w:t xml:space="preserve"> (KPI </w:t>
      </w:r>
      <w:r>
        <w:rPr>
          <w:rFonts w:hint="eastAsia"/>
        </w:rPr>
        <w:t xml:space="preserve">卡片)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  <w:b/>
          <w:bCs/>
        </w:rPr>
        <w:t xml:space="preserve">總投注</w:t>
      </w:r>
      <w:r>
        <w:rPr>
          <w:b/>
          <w:bCs/>
        </w:rPr>
        <w:t xml:space="preserve"> (Total Bet)</w:t>
      </w:r>
      <w:r>
        <w:t xml:space="preserve">:</w:t>
      </w:r>
    </w:p>
    <w:p>
      <w:pPr>
        <w:pStyle w:val="Compact"/>
        <w:numPr>
          <w:ilvl w:val="1"/>
          <w:numId w:val="1002"/>
        </w:numPr>
      </w:pPr>
      <w:r>
        <w:rPr>
          <w:rFonts w:hint="eastAsia"/>
          <w:b/>
          <w:bCs/>
        </w:rPr>
        <w:t xml:space="preserve">定義</w:t>
      </w:r>
      <w:r>
        <w:t xml:space="preserve">: </w:t>
      </w:r>
      <w:r>
        <w:rPr>
          <w:rFonts w:hint="eastAsia"/>
        </w:rPr>
        <w:t xml:space="preserve">當日所有玩家在遊戲中投入的原始投注金額總計。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  <w:b/>
          <w:bCs/>
        </w:rPr>
        <w:t xml:space="preserve">總盈虧</w:t>
      </w:r>
      <w:r>
        <w:rPr>
          <w:b/>
          <w:bCs/>
        </w:rPr>
        <w:t xml:space="preserve"> (GGR)</w:t>
      </w:r>
      <w:r>
        <w:t xml:space="preserve">:</w:t>
      </w:r>
    </w:p>
    <w:p>
      <w:pPr>
        <w:pStyle w:val="Compact"/>
        <w:numPr>
          <w:ilvl w:val="1"/>
          <w:numId w:val="1003"/>
        </w:numPr>
      </w:pPr>
      <w:r>
        <w:rPr>
          <w:rFonts w:hint="eastAsia"/>
          <w:b/>
          <w:bCs/>
        </w:rPr>
        <w:t xml:space="preserve">定義</w:t>
      </w:r>
      <w:r>
        <w:t xml:space="preserve">: </w:t>
      </w:r>
      <w:r>
        <w:rPr>
          <w:rFonts w:hint="eastAsia"/>
        </w:rPr>
        <w:t xml:space="preserve">商戶當日的獲利收益。</w:t>
      </w:r>
    </w:p>
    <w:p>
      <w:pPr>
        <w:pStyle w:val="Compact"/>
        <w:numPr>
          <w:ilvl w:val="1"/>
          <w:numId w:val="1003"/>
        </w:numPr>
      </w:pPr>
      <w:r>
        <w:rPr>
          <w:rFonts w:hint="eastAsia"/>
          <w:b/>
          <w:bCs/>
        </w:rPr>
        <w:t xml:space="preserve">計算式</w:t>
      </w:r>
      <w:r>
        <w:t xml:space="preserve">:</w:t>
      </w:r>
      <w:r>
        <w:t xml:space="preserve"> </w:t>
      </w:r>
      <w:r>
        <w:rPr>
          <w:rStyle w:val="VerbatimChar"/>
          <w:rFonts w:hint="eastAsia"/>
        </w:rPr>
        <w:t xml:space="preserve">Sum(總投注)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 xml:space="preserve">Sum(總派彩)</w:t>
      </w:r>
      <w:r>
        <w:t xml:space="preserve">。</w:t>
      </w:r>
    </w:p>
    <w:p>
      <w:pPr>
        <w:pStyle w:val="Compact"/>
        <w:numPr>
          <w:ilvl w:val="1"/>
          <w:numId w:val="1003"/>
        </w:numPr>
      </w:pPr>
      <w:r>
        <w:rPr>
          <w:rFonts w:hint="eastAsia"/>
          <w:b/>
          <w:bCs/>
        </w:rPr>
        <w:t xml:space="preserve">顯示</w:t>
      </w:r>
      <w:r>
        <w:t xml:space="preserve">: </w:t>
      </w:r>
      <w:r>
        <w:rPr>
          <w:rFonts w:hint="eastAsia"/>
        </w:rPr>
        <w:t xml:space="preserve">綠色代表獲利</w:t>
      </w:r>
      <w:r>
        <w:t xml:space="preserve"> </w:t>
      </w:r>
      <w:r>
        <w:rPr>
          <w:rFonts w:hint="eastAsia"/>
        </w:rPr>
        <w:t xml:space="preserve">(正值)，紅色代表虧損</w:t>
      </w:r>
      <w:r>
        <w:t xml:space="preserve"> </w:t>
      </w:r>
      <w:r>
        <w:rPr>
          <w:rFonts w:hint="eastAsia"/>
        </w:rPr>
        <w:t xml:space="preserve">(負值)。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  <w:b/>
          <w:bCs/>
        </w:rPr>
        <w:t xml:space="preserve">活躍玩家</w:t>
      </w:r>
      <w:r>
        <w:t xml:space="preserve">:</w:t>
      </w:r>
    </w:p>
    <w:p>
      <w:pPr>
        <w:pStyle w:val="Compact"/>
        <w:numPr>
          <w:ilvl w:val="1"/>
          <w:numId w:val="1004"/>
        </w:numPr>
      </w:pPr>
      <w:r>
        <w:rPr>
          <w:rFonts w:hint="eastAsia"/>
          <w:b/>
          <w:bCs/>
        </w:rPr>
        <w:t xml:space="preserve">定義</w:t>
      </w:r>
      <w:r>
        <w:t xml:space="preserve">: </w:t>
      </w:r>
      <w:r>
        <w:rPr>
          <w:rFonts w:hint="eastAsia"/>
        </w:rPr>
        <w:t xml:space="preserve">當日進行過至少一次有效投注的不重複玩家數量。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  <w:b/>
          <w:bCs/>
        </w:rPr>
        <w:t xml:space="preserve">較昨日比較</w:t>
      </w:r>
      <w:r>
        <w:t xml:space="preserve">:</w:t>
      </w:r>
    </w:p>
    <w:p>
      <w:pPr>
        <w:pStyle w:val="Compact"/>
        <w:numPr>
          <w:ilvl w:val="1"/>
          <w:numId w:val="1005"/>
        </w:numPr>
      </w:pPr>
      <w:r>
        <w:rPr>
          <w:rFonts w:hint="eastAsia"/>
          <w:b/>
          <w:bCs/>
        </w:rPr>
        <w:t xml:space="preserve">計算式</w:t>
      </w:r>
      <w:r>
        <w:t xml:space="preserve">:</w:t>
      </w:r>
      <w:r>
        <w:t xml:space="preserve"> </w:t>
      </w:r>
      <w:r>
        <w:rPr>
          <w:rStyle w:val="VerbatimChar"/>
          <w:rFonts w:hint="eastAsia"/>
        </w:rPr>
        <w:t xml:space="preserve">(今日當前值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 xml:space="preserve">昨日同期值)</w:t>
      </w:r>
      <w:r>
        <w:rPr>
          <w:rStyle w:val="VerbatimChar"/>
        </w:rPr>
        <w:t xml:space="preserve"> / </w:t>
      </w:r>
      <w:r>
        <w:rPr>
          <w:rStyle w:val="VerbatimChar"/>
          <w:rFonts w:hint="eastAsia"/>
        </w:rPr>
        <w:t xml:space="preserve">昨日同期值</w:t>
      </w:r>
      <w:r>
        <w:rPr>
          <w:rStyle w:val="VerbatimChar"/>
        </w:rPr>
        <w:t xml:space="preserve"> * 100%</w:t>
      </w:r>
      <w:r>
        <w:t xml:space="preserve">。</w:t>
      </w:r>
    </w:p>
    <w:p>
      <w:pPr>
        <w:pStyle w:val="Compact"/>
        <w:numPr>
          <w:ilvl w:val="1"/>
          <w:numId w:val="1005"/>
        </w:numPr>
      </w:pPr>
      <w:r>
        <w:rPr>
          <w:rFonts w:hint="eastAsia"/>
          <w:b/>
          <w:bCs/>
        </w:rPr>
        <w:t xml:space="preserve">說明</w:t>
      </w:r>
      <w:r>
        <w:t xml:space="preserve">: </w:t>
      </w:r>
      <w:r>
        <w:rPr>
          <w:rFonts w:hint="eastAsia"/>
        </w:rPr>
        <w:t xml:space="preserve">提供即時的日環比趨勢參考。</w:t>
      </w:r>
    </w:p>
    <w:bookmarkEnd w:id="162"/>
    <w:bookmarkStart w:id="163" w:name="b.-營運趨勢與警報"/>
    <w:p>
      <w:pPr>
        <w:pStyle w:val="Heading4"/>
      </w:pPr>
      <w:r>
        <w:t xml:space="preserve">B. </w:t>
      </w:r>
      <w:r>
        <w:rPr>
          <w:rFonts w:hint="eastAsia"/>
        </w:rPr>
        <w:t xml:space="preserve">營運趨勢與警報</w:t>
      </w:r>
    </w:p>
    <w:p>
      <w:pPr>
        <w:pStyle w:val="Compact"/>
        <w:numPr>
          <w:ilvl w:val="0"/>
          <w:numId w:val="1006"/>
        </w:numPr>
      </w:pPr>
      <w:r>
        <w:rPr>
          <w:rFonts w:hint="eastAsia"/>
          <w:b/>
          <w:bCs/>
        </w:rPr>
        <w:t xml:space="preserve">7日營收趨勢</w:t>
      </w:r>
      <w:r>
        <w:t xml:space="preserve">: </w:t>
      </w:r>
      <w:r>
        <w:rPr>
          <w:rFonts w:hint="eastAsia"/>
        </w:rPr>
        <w:t xml:space="preserve">顯示過去一週總投注與總盈虧的變動曲線。</w:t>
      </w:r>
    </w:p>
    <w:p>
      <w:pPr>
        <w:pStyle w:val="Compact"/>
        <w:numPr>
          <w:ilvl w:val="0"/>
          <w:numId w:val="1006"/>
        </w:numPr>
      </w:pPr>
      <w:r>
        <w:rPr>
          <w:rFonts w:hint="eastAsia"/>
          <w:b/>
          <w:bCs/>
        </w:rPr>
        <w:t xml:space="preserve">待處理警報</w:t>
      </w:r>
      <w:r>
        <w:t xml:space="preserve">: </w:t>
      </w:r>
      <w:r>
        <w:rPr>
          <w:rFonts w:hint="eastAsia"/>
        </w:rPr>
        <w:t xml:space="preserve">包含欠費清單通知或信用額度預警，點擊可快速跳轉處理。</w:t>
      </w:r>
    </w:p>
    <w:p>
      <w:r>
        <w:pict>
          <v:rect style="width:0;height:1.5pt" o:hralign="center" o:hrstd="t" o:hr="t"/>
        </w:pict>
      </w:r>
    </w:p>
    <w:bookmarkEnd w:id="163"/>
    <w:bookmarkEnd w:id="164"/>
    <w:bookmarkEnd w:id="165"/>
    <w:bookmarkStart w:id="172" w:name="遊戲管理-game-management"/>
    <w:p>
      <w:pPr>
        <w:pStyle w:val="Heading2"/>
      </w:pPr>
      <w:r>
        <w:t xml:space="preserve">2. </w:t>
      </w:r>
      <w:r>
        <w:rPr>
          <w:rFonts w:hint="eastAsia"/>
        </w:rPr>
        <w:t xml:space="preserve">遊戲管理</w:t>
      </w:r>
      <w:r>
        <w:t xml:space="preserve"> (Game Management)</w:t>
      </w:r>
    </w:p>
    <w:bookmarkStart w:id="171" w:name="我的遊戲-my-games"/>
    <w:p>
      <w:pPr>
        <w:pStyle w:val="Heading3"/>
      </w:pPr>
      <w:r>
        <w:rPr>
          <w:rFonts w:hint="eastAsia"/>
        </w:rPr>
        <w:t xml:space="preserve">我的遊戲</w:t>
      </w:r>
      <w:r>
        <w:t xml:space="preserve"> (My Games)</w:t>
      </w:r>
    </w:p>
    <w:p>
      <w:pPr>
        <w:pStyle w:val="FirstParagraph"/>
      </w:pPr>
      <w:r>
        <w:rPr>
          <w:rFonts w:hint="eastAsia"/>
        </w:rPr>
        <w:t xml:space="preserve">管理員在此決定站點要對玩家開放的遊戲清單。</w:t>
      </w:r>
    </w:p>
    <w:p>
      <w:pPr>
        <w:pStyle w:val="CaptionedFigure"/>
      </w:pPr>
      <w:r>
        <w:drawing>
          <wp:inline>
            <wp:extent cx="5334000" cy="2391955"/>
            <wp:effectExtent b="0" l="0" r="0" t="0"/>
            <wp:docPr descr="我的遊戲" title="" id="167" name="Picture"/>
            <a:graphic>
              <a:graphicData uri="http://schemas.openxmlformats.org/drawingml/2006/picture">
                <pic:pic>
                  <pic:nvPicPr>
                    <pic:cNvPr descr="file:///Users/cooperfu/.gemini/antigravity/brain/40999a8d-4c77-4e00-9055-0f89bca37aa7/my_games_1769391557626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我的遊戲</w:t>
      </w:r>
    </w:p>
    <w:bookmarkStart w:id="169" w:name="a.-篩選與搜尋"/>
    <w:p>
      <w:pPr>
        <w:pStyle w:val="Heading4"/>
      </w:pPr>
      <w:r>
        <w:t xml:space="preserve">A. </w:t>
      </w:r>
      <w:r>
        <w:rPr>
          <w:rFonts w:hint="eastAsia"/>
        </w:rPr>
        <w:t xml:space="preserve">篩選與搜尋</w:t>
      </w:r>
    </w:p>
    <w:p>
      <w:pPr>
        <w:pStyle w:val="Compact"/>
        <w:numPr>
          <w:ilvl w:val="0"/>
          <w:numId w:val="1007"/>
        </w:numPr>
      </w:pPr>
      <w:r>
        <w:rPr>
          <w:rFonts w:hint="eastAsia"/>
          <w:b/>
          <w:bCs/>
        </w:rPr>
        <w:t xml:space="preserve">搜尋框</w:t>
      </w:r>
      <w:r>
        <w:t xml:space="preserve">: </w:t>
      </w:r>
      <w:r>
        <w:rPr>
          <w:rFonts w:hint="eastAsia"/>
        </w:rPr>
        <w:t xml:space="preserve">支援透過「遊戲名稱」或「Game</w:t>
      </w:r>
      <w:r>
        <w:t xml:space="preserve"> </w:t>
      </w:r>
      <w:r>
        <w:rPr>
          <w:rFonts w:hint="eastAsia"/>
        </w:rPr>
        <w:t xml:space="preserve">ID」查詢。</w:t>
      </w:r>
    </w:p>
    <w:p>
      <w:pPr>
        <w:pStyle w:val="Compact"/>
        <w:numPr>
          <w:ilvl w:val="0"/>
          <w:numId w:val="1007"/>
        </w:numPr>
      </w:pPr>
      <w:r>
        <w:rPr>
          <w:rFonts w:hint="eastAsia"/>
          <w:b/>
          <w:bCs/>
        </w:rPr>
        <w:t xml:space="preserve">類型/狀態</w:t>
      </w:r>
      <w:r>
        <w:t xml:space="preserve">: </w:t>
      </w:r>
      <w:r>
        <w:rPr>
          <w:rFonts w:hint="eastAsia"/>
        </w:rPr>
        <w:t xml:space="preserve">可依據遊戲類別或上架狀態進行過濾。</w:t>
      </w:r>
    </w:p>
    <w:bookmarkEnd w:id="169"/>
    <w:bookmarkStart w:id="170" w:name="b.-欄位定義"/>
    <w:p>
      <w:pPr>
        <w:pStyle w:val="Heading4"/>
      </w:pPr>
      <w:r>
        <w:t xml:space="preserve">B. </w:t>
      </w:r>
      <w:r>
        <w:rPr>
          <w:rFonts w:hint="eastAsia"/>
        </w:rPr>
        <w:t xml:space="preserve">欄位定義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RTP </w:t>
      </w:r>
      <w:r>
        <w:rPr>
          <w:rFonts w:hint="eastAsia"/>
          <w:b/>
          <w:bCs/>
        </w:rPr>
        <w:t xml:space="preserve">(即時回報率)</w:t>
      </w:r>
      <w:r>
        <w:t xml:space="preserve">:</w:t>
      </w:r>
    </w:p>
    <w:p>
      <w:pPr>
        <w:pStyle w:val="Compact"/>
        <w:numPr>
          <w:ilvl w:val="1"/>
          <w:numId w:val="1009"/>
        </w:numPr>
      </w:pPr>
      <w:r>
        <w:rPr>
          <w:rFonts w:hint="eastAsia"/>
          <w:b/>
          <w:bCs/>
        </w:rPr>
        <w:t xml:space="preserve">定義</w:t>
      </w:r>
      <w:r>
        <w:t xml:space="preserve">: </w:t>
      </w:r>
      <w:r>
        <w:rPr>
          <w:rFonts w:hint="eastAsia"/>
        </w:rPr>
        <w:t xml:space="preserve">該遊戲過去</w:t>
      </w:r>
      <w:r>
        <w:t xml:space="preserve"> 1 </w:t>
      </w:r>
      <w:r>
        <w:rPr>
          <w:rFonts w:hint="eastAsia"/>
        </w:rPr>
        <w:t xml:space="preserve">小時內的實際返獎比例。</w:t>
      </w:r>
    </w:p>
    <w:p>
      <w:pPr>
        <w:pStyle w:val="Compact"/>
        <w:numPr>
          <w:ilvl w:val="1"/>
          <w:numId w:val="1009"/>
        </w:numPr>
      </w:pPr>
      <w:r>
        <w:rPr>
          <w:rFonts w:hint="eastAsia"/>
          <w:b/>
          <w:bCs/>
        </w:rPr>
        <w:t xml:space="preserve">計算式</w:t>
      </w:r>
      <w:r>
        <w:t xml:space="preserve">:</w:t>
      </w:r>
      <w:r>
        <w:t xml:space="preserve"> </w:t>
      </w:r>
      <w:r>
        <w:rPr>
          <w:rStyle w:val="VerbatimChar"/>
        </w:rPr>
        <w:t xml:space="preserve">(1h </w:t>
      </w:r>
      <w:r>
        <w:rPr>
          <w:rStyle w:val="VerbatimChar"/>
          <w:rFonts w:hint="eastAsia"/>
        </w:rPr>
        <w:t xml:space="preserve">總派彩</w:t>
      </w:r>
      <w:r>
        <w:rPr>
          <w:rStyle w:val="VerbatimChar"/>
        </w:rPr>
        <w:t xml:space="preserve"> / 1h </w:t>
      </w:r>
      <w:r>
        <w:rPr>
          <w:rStyle w:val="VerbatimChar"/>
          <w:rFonts w:hint="eastAsia"/>
        </w:rPr>
        <w:t xml:space="preserve">總投注)</w:t>
      </w:r>
      <w:r>
        <w:rPr>
          <w:rStyle w:val="VerbatimChar"/>
        </w:rPr>
        <w:t xml:space="preserve"> * 100%</w:t>
      </w:r>
      <w:r>
        <w:t xml:space="preserve">。</w:t>
      </w:r>
    </w:p>
    <w:p>
      <w:pPr>
        <w:pStyle w:val="Compact"/>
        <w:numPr>
          <w:ilvl w:val="0"/>
          <w:numId w:val="1008"/>
        </w:numPr>
      </w:pPr>
      <w:r>
        <w:rPr>
          <w:rFonts w:hint="eastAsia"/>
          <w:b/>
          <w:bCs/>
        </w:rPr>
        <w:t xml:space="preserve">平台狀態</w:t>
      </w:r>
      <w:r>
        <w:t xml:space="preserve">: </w:t>
      </w:r>
      <w:r>
        <w:rPr>
          <w:rFonts w:hint="eastAsia"/>
        </w:rPr>
        <w:t xml:space="preserve">總控端設定的權限，若為「禁用」則商戶無法開啟。</w:t>
      </w:r>
    </w:p>
    <w:p>
      <w:pPr>
        <w:pStyle w:val="Compact"/>
        <w:numPr>
          <w:ilvl w:val="0"/>
          <w:numId w:val="1008"/>
        </w:numPr>
      </w:pPr>
      <w:r>
        <w:rPr>
          <w:rFonts w:hint="eastAsia"/>
          <w:b/>
          <w:bCs/>
        </w:rPr>
        <w:t xml:space="preserve">我的狀態</w:t>
      </w:r>
      <w:r>
        <w:t xml:space="preserve">: </w:t>
      </w:r>
      <w:r>
        <w:rPr>
          <w:rFonts w:hint="eastAsia"/>
        </w:rPr>
        <w:t xml:space="preserve">商戶自主開關。</w:t>
      </w:r>
    </w:p>
    <w:p>
      <w:pPr>
        <w:pStyle w:val="Compact"/>
        <w:numPr>
          <w:ilvl w:val="1"/>
          <w:numId w:val="1010"/>
        </w:numPr>
      </w:pPr>
      <w:r>
        <w:rPr>
          <w:rFonts w:hint="eastAsia"/>
          <w:b/>
          <w:bCs/>
        </w:rPr>
        <w:t xml:space="preserve">啟用</w:t>
      </w:r>
      <w:r>
        <w:t xml:space="preserve">: </w:t>
      </w:r>
      <w:r>
        <w:rPr>
          <w:rFonts w:hint="eastAsia"/>
        </w:rPr>
        <w:t xml:space="preserve">前端站點同步顯示。</w:t>
      </w:r>
    </w:p>
    <w:p>
      <w:pPr>
        <w:pStyle w:val="Compact"/>
        <w:numPr>
          <w:ilvl w:val="1"/>
          <w:numId w:val="1010"/>
        </w:numPr>
      </w:pPr>
      <w:r>
        <w:rPr>
          <w:rFonts w:hint="eastAsia"/>
          <w:b/>
          <w:bCs/>
        </w:rPr>
        <w:t xml:space="preserve">停用</w:t>
      </w:r>
      <w:r>
        <w:t xml:space="preserve">: </w:t>
      </w:r>
      <w:r>
        <w:rPr>
          <w:rFonts w:hint="eastAsia"/>
        </w:rPr>
        <w:t xml:space="preserve">前端站點即時隱藏。</w:t>
      </w:r>
    </w:p>
    <w:p>
      <w:r>
        <w:pict>
          <v:rect style="width:0;height:1.5pt" o:hralign="center" o:hrstd="t" o:hr="t"/>
        </w:pict>
      </w:r>
    </w:p>
    <w:bookmarkEnd w:id="170"/>
    <w:bookmarkEnd w:id="171"/>
    <w:bookmarkEnd w:id="172"/>
    <w:bookmarkStart w:id="182" w:name="報表中心-report-center"/>
    <w:p>
      <w:pPr>
        <w:pStyle w:val="Heading2"/>
      </w:pPr>
      <w:r>
        <w:t xml:space="preserve">3. </w:t>
      </w:r>
      <w:r>
        <w:rPr>
          <w:rFonts w:hint="eastAsia"/>
        </w:rPr>
        <w:t xml:space="preserve">報表中心</w:t>
      </w:r>
      <w:r>
        <w:t xml:space="preserve"> (Report Center)</w:t>
      </w:r>
    </w:p>
    <w:bookmarkStart w:id="177" w:name="營收報表-revenue-report"/>
    <w:p>
      <w:pPr>
        <w:pStyle w:val="Heading3"/>
      </w:pPr>
      <w:r>
        <w:rPr>
          <w:rFonts w:hint="eastAsia"/>
        </w:rPr>
        <w:t xml:space="preserve">營收報表</w:t>
      </w:r>
      <w:r>
        <w:t xml:space="preserve"> (Revenue Report)</w:t>
      </w:r>
    </w:p>
    <w:p>
      <w:pPr>
        <w:pStyle w:val="FirstParagraph"/>
      </w:pPr>
      <w:r>
        <w:rPr>
          <w:rFonts w:hint="eastAsia"/>
        </w:rPr>
        <w:t xml:space="preserve">用於核對每日經營數據，支援多層級展開分析。</w:t>
      </w:r>
    </w:p>
    <w:p>
      <w:pPr>
        <w:pStyle w:val="CaptionedFigure"/>
      </w:pPr>
      <w:r>
        <w:drawing>
          <wp:inline>
            <wp:extent cx="5334000" cy="2391955"/>
            <wp:effectExtent b="0" l="0" r="0" t="0"/>
            <wp:docPr descr="營收報表" title="" id="174" name="Picture"/>
            <a:graphic>
              <a:graphicData uri="http://schemas.openxmlformats.org/drawingml/2006/picture">
                <pic:pic>
                  <pic:nvPicPr>
                    <pic:cNvPr descr="file:///Users/cooperfu/.gemini/antigravity/brain/40999a8d-4c77-4e00-9055-0f89bca37aa7/revenue_report_1769391530567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營收報表</w:t>
      </w:r>
    </w:p>
    <w:bookmarkStart w:id="176" w:name="a.-核心數據邏輯"/>
    <w:p>
      <w:pPr>
        <w:pStyle w:val="Heading4"/>
      </w:pPr>
      <w:r>
        <w:t xml:space="preserve">A. </w:t>
      </w:r>
      <w:r>
        <w:rPr>
          <w:rFonts w:hint="eastAsia"/>
        </w:rPr>
        <w:t xml:space="preserve">核心數據邏輯</w:t>
      </w:r>
    </w:p>
    <w:p>
      <w:pPr>
        <w:pStyle w:val="Compact"/>
        <w:numPr>
          <w:ilvl w:val="0"/>
          <w:numId w:val="1011"/>
        </w:numPr>
      </w:pPr>
      <w:r>
        <w:rPr>
          <w:rFonts w:hint="eastAsia"/>
          <w:b/>
          <w:bCs/>
        </w:rPr>
        <w:t xml:space="preserve">層級結構</w:t>
      </w:r>
      <w:r>
        <w:t xml:space="preserve">: </w:t>
      </w:r>
      <w:r>
        <w:rPr>
          <w:rFonts w:hint="eastAsia"/>
        </w:rPr>
        <w:t xml:space="preserve">點擊日期可展開查看各「遊戲類別」細分出的數據。</w:t>
      </w:r>
    </w:p>
    <w:p>
      <w:pPr>
        <w:pStyle w:val="Compact"/>
        <w:numPr>
          <w:ilvl w:val="0"/>
          <w:numId w:val="1011"/>
        </w:numPr>
      </w:pPr>
      <w:r>
        <w:rPr>
          <w:rFonts w:hint="eastAsia"/>
          <w:b/>
          <w:bCs/>
        </w:rPr>
        <w:t xml:space="preserve">總盈虧</w:t>
      </w:r>
      <w:r>
        <w:rPr>
          <w:b/>
          <w:bCs/>
        </w:rPr>
        <w:t xml:space="preserve"> (GGR)</w:t>
      </w:r>
      <w:r>
        <w:t xml:space="preserve">:</w:t>
      </w:r>
      <w:r>
        <w:t xml:space="preserve"> </w:t>
      </w:r>
      <w:r>
        <w:rPr>
          <w:rStyle w:val="VerbatimChar"/>
          <w:rFonts w:hint="eastAsia"/>
        </w:rPr>
        <w:t xml:space="preserve">總投注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 xml:space="preserve">總派彩</w:t>
      </w:r>
      <w:r>
        <w:t xml:space="preserve">。</w:t>
      </w:r>
    </w:p>
    <w:p>
      <w:pPr>
        <w:pStyle w:val="Compact"/>
        <w:numPr>
          <w:ilvl w:val="0"/>
          <w:numId w:val="1011"/>
        </w:numPr>
      </w:pPr>
      <w:r>
        <w:rPr>
          <w:rFonts w:hint="eastAsia"/>
          <w:b/>
          <w:bCs/>
        </w:rPr>
        <w:t xml:space="preserve">詳情抽屜</w:t>
      </w:r>
      <w:r>
        <w:t xml:space="preserve">: </w:t>
      </w:r>
      <w:r>
        <w:rPr>
          <w:rFonts w:hint="eastAsia"/>
        </w:rPr>
        <w:t xml:space="preserve">點擊查看可開啟抽屜式面板，顯示該區間內的所有玩家交易流水。</w:t>
      </w:r>
    </w:p>
    <w:bookmarkEnd w:id="176"/>
    <w:bookmarkEnd w:id="177"/>
    <w:bookmarkStart w:id="181" w:name="投注明細-bet-query"/>
    <w:p>
      <w:pPr>
        <w:pStyle w:val="Heading3"/>
      </w:pPr>
      <w:r>
        <w:rPr>
          <w:rFonts w:hint="eastAsia"/>
        </w:rPr>
        <w:t xml:space="preserve">投注明細</w:t>
      </w:r>
      <w:r>
        <w:t xml:space="preserve"> (Bet Query)</w:t>
      </w:r>
    </w:p>
    <w:p>
      <w:pPr>
        <w:pStyle w:val="FirstParagraph"/>
      </w:pPr>
      <w:r>
        <w:rPr>
          <w:rFonts w:hint="eastAsia"/>
        </w:rPr>
        <w:t xml:space="preserve">最細顆粒度的注單查詢工具，用於處理爭議或風控查詢。</w:t>
      </w:r>
    </w:p>
    <w:p>
      <w:pPr>
        <w:pStyle w:val="CaptionedFigure"/>
      </w:pPr>
      <w:r>
        <w:drawing>
          <wp:inline>
            <wp:extent cx="5334000" cy="2391955"/>
            <wp:effectExtent b="0" l="0" r="0" t="0"/>
            <wp:docPr descr="注單查詢" title="" id="179" name="Picture"/>
            <a:graphic>
              <a:graphicData uri="http://schemas.openxmlformats.org/drawingml/2006/picture">
                <pic:pic>
                  <pic:nvPicPr>
                    <pic:cNvPr descr="file:///Users/cooperfu/.gemini/antigravity/brain/40999a8d-4c77-4e00-9055-0f89bca37aa7/bet_query_1769391546076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注單查詢</w:t>
      </w:r>
    </w:p>
    <w:p>
      <w:pPr>
        <w:pStyle w:val="Compact"/>
        <w:numPr>
          <w:ilvl w:val="0"/>
          <w:numId w:val="1012"/>
        </w:numPr>
      </w:pPr>
      <w:r>
        <w:rPr>
          <w:rFonts w:hint="eastAsia"/>
          <w:b/>
          <w:bCs/>
        </w:rPr>
        <w:t xml:space="preserve">狀態標籤</w:t>
      </w:r>
      <w:r>
        <w:t xml:space="preserve">: WIN </w:t>
      </w:r>
      <w:r>
        <w:rPr>
          <w:rFonts w:hint="eastAsia"/>
        </w:rPr>
        <w:t xml:space="preserve">(贏)、LOSS</w:t>
      </w:r>
      <w:r>
        <w:t xml:space="preserve"> </w:t>
      </w:r>
      <w:r>
        <w:rPr>
          <w:rFonts w:hint="eastAsia"/>
        </w:rPr>
        <w:t xml:space="preserve">(輸)、REFUND</w:t>
      </w:r>
      <w:r>
        <w:t xml:space="preserve"> </w:t>
      </w:r>
      <w:r>
        <w:rPr>
          <w:rFonts w:hint="eastAsia"/>
        </w:rPr>
        <w:t xml:space="preserve">(退款)。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JSON </w:t>
      </w:r>
      <w:r>
        <w:rPr>
          <w:rFonts w:hint="eastAsia"/>
          <w:b/>
          <w:bCs/>
        </w:rPr>
        <w:t xml:space="preserve">檢視器</w:t>
      </w:r>
      <w:r>
        <w:t xml:space="preserve">: </w:t>
      </w:r>
      <w:r>
        <w:rPr>
          <w:rFonts w:hint="eastAsia"/>
        </w:rPr>
        <w:t xml:space="preserve">點擊放大鏡可查閱該筆注單在</w:t>
      </w:r>
      <w:r>
        <w:t xml:space="preserve"> API </w:t>
      </w:r>
      <w:r>
        <w:rPr>
          <w:rFonts w:hint="eastAsia"/>
        </w:rPr>
        <w:t xml:space="preserve">端回傳的技術原始參數。</w:t>
      </w:r>
    </w:p>
    <w:p>
      <w:r>
        <w:pict>
          <v:rect style="width:0;height:1.5pt" o:hralign="center" o:hrstd="t" o:hr="t"/>
        </w:pict>
      </w:r>
    </w:p>
    <w:bookmarkEnd w:id="181"/>
    <w:bookmarkEnd w:id="182"/>
    <w:bookmarkStart w:id="187" w:name="財務中心-finance-center"/>
    <w:p>
      <w:pPr>
        <w:pStyle w:val="Heading2"/>
      </w:pPr>
      <w:r>
        <w:t xml:space="preserve">4. </w:t>
      </w:r>
      <w:r>
        <w:rPr>
          <w:rFonts w:hint="eastAsia"/>
        </w:rPr>
        <w:t xml:space="preserve">財務中心</w:t>
      </w:r>
      <w:r>
        <w:t xml:space="preserve"> (Finance Center)</w:t>
      </w:r>
    </w:p>
    <w:bookmarkStart w:id="186" w:name="我的帳單-my-invoices"/>
    <w:p>
      <w:pPr>
        <w:pStyle w:val="Heading3"/>
      </w:pPr>
      <w:r>
        <w:rPr>
          <w:rFonts w:hint="eastAsia"/>
        </w:rPr>
        <w:t xml:space="preserve">我的帳單</w:t>
      </w:r>
      <w:r>
        <w:t xml:space="preserve"> (My Invoices)</w:t>
      </w:r>
    </w:p>
    <w:p>
      <w:pPr>
        <w:pStyle w:val="FirstParagraph"/>
      </w:pPr>
      <w:r>
        <w:rPr>
          <w:rFonts w:hint="eastAsia"/>
        </w:rPr>
        <w:t xml:space="preserve">商戶與平台進行週次或月次對帳結算的頁面。</w:t>
      </w:r>
    </w:p>
    <w:p>
      <w:pPr>
        <w:pStyle w:val="CaptionedFigure"/>
      </w:pPr>
      <w:r>
        <w:drawing>
          <wp:inline>
            <wp:extent cx="5334000" cy="2391955"/>
            <wp:effectExtent b="0" l="0" r="0" t="0"/>
            <wp:docPr descr="我的帳單" title="" id="184" name="Picture"/>
            <a:graphic>
              <a:graphicData uri="http://schemas.openxmlformats.org/drawingml/2006/picture">
                <pic:pic>
                  <pic:nvPicPr>
                    <pic:cNvPr descr="file:///Users/cooperfu/.gemini/antigravity/brain/40999a8d-4c77-4e00-9055-0f89bca37aa7/my_invoices_1769391569512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我的帳單</w:t>
      </w:r>
    </w:p>
    <w:p>
      <w:pPr>
        <w:pStyle w:val="Compact"/>
        <w:numPr>
          <w:ilvl w:val="0"/>
          <w:numId w:val="1013"/>
        </w:numPr>
      </w:pPr>
      <w:r>
        <w:rPr>
          <w:rFonts w:hint="eastAsia"/>
          <w:b/>
          <w:bCs/>
        </w:rPr>
        <w:t xml:space="preserve">信用額度</w:t>
      </w:r>
      <w:r>
        <w:t xml:space="preserve">: </w:t>
      </w:r>
      <w:r>
        <w:rPr>
          <w:rFonts w:hint="eastAsia"/>
        </w:rPr>
        <w:t xml:space="preserve">平台核發給商戶的營運透支額度。</w:t>
      </w:r>
    </w:p>
    <w:p>
      <w:pPr>
        <w:pStyle w:val="Compact"/>
        <w:numPr>
          <w:ilvl w:val="0"/>
          <w:numId w:val="1013"/>
        </w:numPr>
      </w:pPr>
      <w:r>
        <w:rPr>
          <w:rFonts w:hint="eastAsia"/>
          <w:b/>
          <w:bCs/>
        </w:rPr>
        <w:t xml:space="preserve">應付金額</w:t>
      </w:r>
      <w:r>
        <w:t xml:space="preserve">:</w:t>
      </w:r>
      <w:r>
        <w:t xml:space="preserve"> </w:t>
      </w:r>
      <w:r>
        <w:rPr>
          <w:rStyle w:val="VerbatimChar"/>
          <w:rFonts w:hint="eastAsia"/>
        </w:rPr>
        <w:t xml:space="preserve">區間總營收</w:t>
      </w:r>
      <w:r>
        <w:rPr>
          <w:rStyle w:val="VerbatimChar"/>
        </w:rPr>
        <w:t xml:space="preserve"> * </w:t>
      </w:r>
      <w:r>
        <w:rPr>
          <w:rStyle w:val="VerbatimChar"/>
          <w:rFonts w:hint="eastAsia"/>
        </w:rPr>
        <w:t xml:space="preserve">約定佔成比例</w:t>
      </w:r>
      <w:r>
        <w:t xml:space="preserve">。</w:t>
      </w:r>
    </w:p>
    <w:p>
      <w:pPr>
        <w:pStyle w:val="Compact"/>
        <w:numPr>
          <w:ilvl w:val="0"/>
          <w:numId w:val="1013"/>
        </w:numPr>
      </w:pPr>
      <w:r>
        <w:rPr>
          <w:rFonts w:hint="eastAsia"/>
          <w:b/>
          <w:bCs/>
        </w:rPr>
        <w:t xml:space="preserve">支付彈窗</w:t>
      </w:r>
      <w:r>
        <w:t xml:space="preserve">: </w:t>
      </w:r>
      <w:r>
        <w:rPr>
          <w:rFonts w:hint="eastAsia"/>
        </w:rPr>
        <w:t xml:space="preserve">需在此提交支付具結，包括輸入交易</w:t>
      </w:r>
      <w:r>
        <w:t xml:space="preserve"> HASH (TXID) </w:t>
      </w:r>
      <w:r>
        <w:rPr>
          <w:rFonts w:hint="eastAsia"/>
        </w:rPr>
        <w:t xml:space="preserve">並上傳憑證。</w:t>
      </w:r>
    </w:p>
    <w:p>
      <w:r>
        <w:pict>
          <v:rect style="width:0;height:1.5pt" o:hralign="center" o:hrstd="t" o:hr="t"/>
        </w:pict>
      </w:r>
    </w:p>
    <w:bookmarkEnd w:id="186"/>
    <w:bookmarkEnd w:id="187"/>
    <w:bookmarkStart w:id="192" w:name="組織管理-organization"/>
    <w:p>
      <w:pPr>
        <w:pStyle w:val="Heading2"/>
      </w:pPr>
      <w:r>
        <w:t xml:space="preserve">5. </w:t>
      </w:r>
      <w:r>
        <w:rPr>
          <w:rFonts w:hint="eastAsia"/>
        </w:rPr>
        <w:t xml:space="preserve">組織管理</w:t>
      </w:r>
      <w:r>
        <w:t xml:space="preserve"> (Organization)</w:t>
      </w:r>
    </w:p>
    <w:bookmarkStart w:id="191" w:name="下級代理-sub-agent-list"/>
    <w:p>
      <w:pPr>
        <w:pStyle w:val="Heading3"/>
      </w:pPr>
      <w:r>
        <w:rPr>
          <w:rFonts w:hint="eastAsia"/>
        </w:rPr>
        <w:t xml:space="preserve">下級代理</w:t>
      </w:r>
      <w:r>
        <w:t xml:space="preserve"> (Sub-Agent List)</w:t>
      </w:r>
    </w:p>
    <w:p>
      <w:pPr>
        <w:pStyle w:val="FirstParagraph"/>
      </w:pPr>
      <w:r>
        <w:rPr>
          <w:rFonts w:hint="eastAsia"/>
        </w:rPr>
        <w:t xml:space="preserve">用於發展二級代理商，管理員可以在此配置各代理的分潤比例。</w:t>
      </w:r>
    </w:p>
    <w:p>
      <w:pPr>
        <w:pStyle w:val="CaptionedFigure"/>
      </w:pPr>
      <w:r>
        <w:drawing>
          <wp:inline>
            <wp:extent cx="5334000" cy="2391955"/>
            <wp:effectExtent b="0" l="0" r="0" t="0"/>
            <wp:docPr descr="下級代理" title="" id="189" name="Picture"/>
            <a:graphic>
              <a:graphicData uri="http://schemas.openxmlformats.org/drawingml/2006/picture">
                <pic:pic>
                  <pic:nvPicPr>
                    <pic:cNvPr descr="file:///Users/cooperfu/.gemini/antigravity/brain/40999a8d-4c77-4e00-9055-0f89bca37aa7/sub_agent_list_1769391594275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下級代理</w:t>
      </w:r>
    </w:p>
    <w:p>
      <w:pPr>
        <w:pStyle w:val="Compact"/>
        <w:numPr>
          <w:ilvl w:val="0"/>
          <w:numId w:val="1014"/>
        </w:numPr>
      </w:pPr>
      <w:r>
        <w:rPr>
          <w:rFonts w:hint="eastAsia"/>
          <w:b/>
          <w:bCs/>
        </w:rPr>
        <w:t xml:space="preserve">返佣比例</w:t>
      </w:r>
      <w:r>
        <w:rPr>
          <w:b/>
          <w:bCs/>
        </w:rPr>
        <w:t xml:space="preserve"> (Slider)</w:t>
      </w:r>
      <w:r>
        <w:t xml:space="preserve">: </w:t>
      </w:r>
      <w:r>
        <w:rPr>
          <w:rFonts w:hint="eastAsia"/>
        </w:rPr>
        <w:t xml:space="preserve">設定代理商的收益比例，不可超過主商戶自身佔成。</w:t>
      </w:r>
    </w:p>
    <w:p>
      <w:pPr>
        <w:pStyle w:val="Compact"/>
        <w:numPr>
          <w:ilvl w:val="0"/>
          <w:numId w:val="1014"/>
        </w:numPr>
      </w:pPr>
      <w:r>
        <w:rPr>
          <w:rFonts w:hint="eastAsia"/>
          <w:b/>
          <w:bCs/>
        </w:rPr>
        <w:t xml:space="preserve">推廣連結</w:t>
      </w:r>
      <w:r>
        <w:rPr>
          <w:b/>
          <w:bCs/>
        </w:rPr>
        <w:t xml:space="preserve"> (Popover)</w:t>
      </w:r>
      <w:r>
        <w:t xml:space="preserve">: </w:t>
      </w:r>
      <w:r>
        <w:rPr>
          <w:rFonts w:hint="eastAsia"/>
        </w:rPr>
        <w:t xml:space="preserve">提供專屬的代理加盟網址，支援一鍵複製。</w:t>
      </w:r>
    </w:p>
    <w:p>
      <w:r>
        <w:pict>
          <v:rect style="width:0;height:1.5pt" o:hralign="center" o:hrstd="t" o:hr="t"/>
        </w:pict>
      </w:r>
    </w:p>
    <w:bookmarkEnd w:id="191"/>
    <w:bookmarkEnd w:id="192"/>
    <w:bookmarkStart w:id="197" w:name="技術對接-developer"/>
    <w:p>
      <w:pPr>
        <w:pStyle w:val="Heading2"/>
      </w:pPr>
      <w:r>
        <w:t xml:space="preserve">6. </w:t>
      </w:r>
      <w:r>
        <w:rPr>
          <w:rFonts w:hint="eastAsia"/>
        </w:rPr>
        <w:t xml:space="preserve">技術對接</w:t>
      </w:r>
      <w:r>
        <w:t xml:space="preserve"> (Developer)</w:t>
      </w:r>
    </w:p>
    <w:bookmarkStart w:id="196" w:name="介接資訊-integration-info"/>
    <w:p>
      <w:pPr>
        <w:pStyle w:val="Heading3"/>
      </w:pPr>
      <w:r>
        <w:rPr>
          <w:rFonts w:hint="eastAsia"/>
        </w:rPr>
        <w:t xml:space="preserve">介接資訊</w:t>
      </w:r>
      <w:r>
        <w:t xml:space="preserve"> (Integration Info)</w:t>
      </w:r>
    </w:p>
    <w:p>
      <w:pPr>
        <w:pStyle w:val="FirstParagraph"/>
      </w:pPr>
      <w:r>
        <w:rPr>
          <w:rFonts w:hint="eastAsia"/>
        </w:rPr>
        <w:t xml:space="preserve">技術團隊整合</w:t>
      </w:r>
      <w:r>
        <w:t xml:space="preserve"> API </w:t>
      </w:r>
      <w:r>
        <w:rPr>
          <w:rFonts w:hint="eastAsia"/>
        </w:rPr>
        <w:t xml:space="preserve">的核心入口。</w:t>
      </w:r>
    </w:p>
    <w:p>
      <w:pPr>
        <w:pStyle w:val="CaptionedFigure"/>
      </w:pPr>
      <w:r>
        <w:drawing>
          <wp:inline>
            <wp:extent cx="5334000" cy="2391955"/>
            <wp:effectExtent b="0" l="0" r="0" t="0"/>
            <wp:docPr descr="介接資訊" title="" id="194" name="Picture"/>
            <a:graphic>
              <a:graphicData uri="http://schemas.openxmlformats.org/drawingml/2006/picture">
                <pic:pic>
                  <pic:nvPicPr>
                    <pic:cNvPr descr="file:///Users/cooperfu/.gemini/antigravity/brain/40999a8d-4c77-4e00-9055-0f89bca37aa7/developer_center_1769391609448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介接資訊</w:t>
      </w:r>
    </w:p>
    <w:p>
      <w:pPr>
        <w:pStyle w:val="Compact"/>
        <w:numPr>
          <w:ilvl w:val="0"/>
          <w:numId w:val="1015"/>
        </w:numPr>
      </w:pPr>
      <w:r>
        <w:rPr>
          <w:rFonts w:hint="eastAsia"/>
          <w:b/>
          <w:bCs/>
        </w:rPr>
        <w:t xml:space="preserve">通訊密鑰</w:t>
      </w:r>
      <w:r>
        <w:rPr>
          <w:b/>
          <w:bCs/>
        </w:rPr>
        <w:t xml:space="preserve"> (Secret Key)</w:t>
      </w:r>
      <w:r>
        <w:t xml:space="preserve">: </w:t>
      </w:r>
      <w:r>
        <w:rPr>
          <w:rFonts w:hint="eastAsia"/>
        </w:rPr>
        <w:t xml:space="preserve">用於</w:t>
      </w:r>
      <w:r>
        <w:t xml:space="preserve"> API </w:t>
      </w:r>
      <w:r>
        <w:rPr>
          <w:rFonts w:hint="eastAsia"/>
        </w:rPr>
        <w:t xml:space="preserve">請求簽名校驗。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IP </w:t>
      </w:r>
      <w:r>
        <w:rPr>
          <w:rFonts w:hint="eastAsia"/>
          <w:b/>
          <w:bCs/>
        </w:rPr>
        <w:t xml:space="preserve">白名單</w:t>
      </w:r>
      <w:r>
        <w:rPr>
          <w:b/>
          <w:bCs/>
        </w:rPr>
        <w:t xml:space="preserve"> (Tags)</w:t>
      </w:r>
      <w:r>
        <w:t xml:space="preserve">: </w:t>
      </w:r>
      <w:r>
        <w:rPr>
          <w:rFonts w:hint="eastAsia"/>
        </w:rPr>
        <w:t xml:space="preserve">僅限清單內的</w:t>
      </w:r>
      <w:r>
        <w:t xml:space="preserve"> IP </w:t>
      </w:r>
      <w:r>
        <w:rPr>
          <w:rFonts w:hint="eastAsia"/>
        </w:rPr>
        <w:t xml:space="preserve">可發起</w:t>
      </w:r>
      <w:r>
        <w:t xml:space="preserve"> API </w:t>
      </w:r>
      <w:r>
        <w:rPr>
          <w:rFonts w:hint="eastAsia"/>
        </w:rPr>
        <w:t xml:space="preserve">呼叫，確保介接安全。</w:t>
      </w:r>
    </w:p>
    <w:bookmarkEnd w:id="196"/>
    <w:bookmarkEnd w:id="197"/>
    <w:bookmarkEnd w:id="19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off"/>
    </w:pPr>
  </w:style>
  <w:style w:customStyle="1" w:styleId="KeywordTok" w:type="character">
    <w:name w:val="KeywordTok"/>
    <w:basedOn w:val="VerbatimChar"/>
    <w:rPr>
      <w:b/>
      <w:color w:val="007020"/>
    </w:rPr>
  </w:style>
  <w:style w:customStyle="1" w:styleId="DataTypeTok" w:type="character">
    <w:name w:val="DataTypeTok"/>
    <w:basedOn w:val="VerbatimChar"/>
    <w:rPr>
      <w:color w:val="902000"/>
    </w:rPr>
  </w:style>
  <w:style w:customStyle="1" w:styleId="DecValTok" w:type="character">
    <w:name w:val="DecValTok"/>
    <w:basedOn w:val="VerbatimChar"/>
    <w:rPr>
      <w:color w:val="40a070"/>
    </w:rPr>
  </w:style>
  <w:style w:customStyle="1" w:styleId="BaseNTok" w:type="character">
    <w:name w:val="BaseNTok"/>
    <w:basedOn w:val="VerbatimChar"/>
    <w:rPr>
      <w:color w:val="40a070"/>
    </w:rPr>
  </w:style>
  <w:style w:customStyle="1" w:styleId="FloatTok" w:type="character">
    <w:name w:val="FloatTok"/>
    <w:basedOn w:val="VerbatimChar"/>
    <w:rPr>
      <w:color w:val="40a070"/>
    </w:rPr>
  </w:style>
  <w:style w:customStyle="1" w:styleId="ConstantTok" w:type="character">
    <w:name w:val="ConstantTok"/>
    <w:basedOn w:val="VerbatimChar"/>
    <w:rPr>
      <w:color w:val="880000"/>
    </w:rPr>
  </w:style>
  <w:style w:customStyle="1" w:styleId="CharTok" w:type="character">
    <w:name w:val="CharTok"/>
    <w:basedOn w:val="VerbatimChar"/>
    <w:rPr>
      <w:color w:val="4070a0"/>
    </w:rPr>
  </w:style>
  <w:style w:customStyle="1" w:styleId="SpecialCharTok" w:type="character">
    <w:name w:val="SpecialCharTok"/>
    <w:basedOn w:val="VerbatimChar"/>
    <w:rPr>
      <w:color w:val="4070a0"/>
    </w:rPr>
  </w:style>
  <w:style w:customStyle="1" w:styleId="StringTok" w:type="character">
    <w:name w:val="StringTok"/>
    <w:basedOn w:val="VerbatimChar"/>
    <w:rPr>
      <w:color w:val="4070a0"/>
    </w:rPr>
  </w:style>
  <w:style w:customStyle="1" w:styleId="VerbatimStringTok" w:type="character">
    <w:name w:val="VerbatimStringTok"/>
    <w:basedOn w:val="VerbatimChar"/>
    <w:rPr>
      <w:color w:val="4070a0"/>
    </w:rPr>
  </w:style>
  <w:style w:customStyle="1" w:styleId="SpecialStringTok" w:type="character">
    <w:name w:val="SpecialStringTok"/>
    <w:basedOn w:val="VerbatimChar"/>
    <w:rPr>
      <w:color w:val="bb6688"/>
    </w:rPr>
  </w:style>
  <w:style w:customStyle="1" w:styleId="ImportTok" w:type="character">
    <w:name w:val="ImportTok"/>
    <w:basedOn w:val="VerbatimChar"/>
    <w:rPr>
      <w:b/>
      <w:color w:val="008000"/>
    </w:rPr>
  </w:style>
  <w:style w:customStyle="1" w:styleId="CommentTok" w:type="character">
    <w:name w:val="CommentTok"/>
    <w:basedOn w:val="VerbatimChar"/>
    <w:rPr>
      <w:i/>
      <w:color w:val="60a0b0"/>
    </w:rPr>
  </w:style>
  <w:style w:customStyle="1" w:styleId="DocumentationTok" w:type="character">
    <w:name w:val="DocumentationTok"/>
    <w:basedOn w:val="VerbatimChar"/>
    <w:rPr>
      <w:i/>
      <w:color w:val="ba2121"/>
    </w:rPr>
  </w:style>
  <w:style w:customStyle="1" w:styleId="AnnotationTok" w:type="character">
    <w:name w:val="AnnotationTok"/>
    <w:basedOn w:val="VerbatimChar"/>
    <w:rPr>
      <w:b/>
      <w:i/>
      <w:color w:val="60a0b0"/>
    </w:rPr>
  </w:style>
  <w:style w:customStyle="1" w:styleId="CommentVarTok" w:type="character">
    <w:name w:val="CommentVarTok"/>
    <w:basedOn w:val="VerbatimChar"/>
    <w:rPr>
      <w:b/>
      <w:i/>
      <w:color w:val="60a0b0"/>
    </w:rPr>
  </w:style>
  <w:style w:customStyle="1" w:styleId="OtherTok" w:type="character">
    <w:name w:val="OtherTok"/>
    <w:basedOn w:val="VerbatimChar"/>
    <w:rPr>
      <w:color w:val="007020"/>
    </w:rPr>
  </w:style>
  <w:style w:customStyle="1" w:styleId="FunctionTok" w:type="character">
    <w:name w:val="FunctionTok"/>
    <w:basedOn w:val="VerbatimChar"/>
    <w:rPr>
      <w:color w:val="06287e"/>
    </w:rPr>
  </w:style>
  <w:style w:customStyle="1" w:styleId="VariableTok" w:type="character">
    <w:name w:val="VariableTok"/>
    <w:basedOn w:val="VerbatimChar"/>
    <w:rPr>
      <w:color w:val="19177c"/>
    </w:rPr>
  </w:style>
  <w:style w:customStyle="1" w:styleId="ControlFlowTok" w:type="character">
    <w:name w:val="ControlFlowTok"/>
    <w:basedOn w:val="VerbatimChar"/>
    <w:rPr>
      <w:b/>
      <w:color w:val="007020"/>
    </w:rPr>
  </w:style>
  <w:style w:customStyle="1" w:styleId="OperatorTok" w:type="character">
    <w:name w:val="OperatorTok"/>
    <w:basedOn w:val="VerbatimChar"/>
    <w:rPr>
      <w:color w:val="666666"/>
    </w:rPr>
  </w:style>
  <w:style w:customStyle="1" w:styleId="BuiltInTok" w:type="character">
    <w:name w:val="BuiltInTok"/>
    <w:basedOn w:val="VerbatimChar"/>
    <w:rPr>
      <w:color w:val="008000"/>
    </w:rPr>
  </w:style>
  <w:style w:customStyle="1" w:styleId="ExtensionTok" w:type="character">
    <w:name w:val="ExtensionTok"/>
    <w:basedOn w:val="VerbatimChar"/>
    <w:rPr/>
  </w:style>
  <w:style w:customStyle="1" w:styleId="PreprocessorTok" w:type="character">
    <w:name w:val="PreprocessorTok"/>
    <w:basedOn w:val="VerbatimChar"/>
    <w:rPr>
      <w:color w:val="bc7a00"/>
    </w:rPr>
  </w:style>
  <w:style w:customStyle="1" w:styleId="AttributeTok" w:type="character">
    <w:name w:val="AttributeTok"/>
    <w:basedOn w:val="VerbatimChar"/>
    <w:rPr>
      <w:color w:val="7d9029"/>
    </w:rPr>
  </w:style>
  <w:style w:customStyle="1" w:styleId="RegionMarkerTok" w:type="character">
    <w:name w:val="RegionMarkerTok"/>
    <w:basedOn w:val="VerbatimChar"/>
    <w:rPr/>
  </w:style>
  <w:style w:customStyle="1" w:styleId="InformationTok" w:type="character">
    <w:name w:val="InformationTok"/>
    <w:basedOn w:val="VerbatimChar"/>
    <w:rPr>
      <w:b/>
      <w:i/>
      <w:color w:val="60a0b0"/>
    </w:rPr>
  </w:style>
  <w:style w:customStyle="1" w:styleId="WarningTok" w:type="character">
    <w:name w:val="WarningTok"/>
    <w:basedOn w:val="VerbatimChar"/>
    <w:rPr>
      <w:b/>
      <w:i/>
      <w:color w:val="60a0b0"/>
    </w:rPr>
  </w:style>
  <w:style w:customStyle="1" w:styleId="AlertTok" w:type="character">
    <w:name w:val="AlertTok"/>
    <w:basedOn w:val="VerbatimChar"/>
    <w:rPr>
      <w:b/>
      <w:color w:val="ff0000"/>
    </w:rPr>
  </w:style>
  <w:style w:customStyle="1" w:styleId="ErrorTok" w:type="character">
    <w:name w:val="ErrorTok"/>
    <w:basedOn w:val="VerbatimChar"/>
    <w:rPr>
      <w:b/>
      <w:color w:val="ff0000"/>
    </w:rPr>
  </w:style>
  <w:style w:customStyle="1" w:styleId="NormalTok" w:type="character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58" Target="numbering.xml" /><Relationship Type="http://schemas.openxmlformats.org/officeDocument/2006/relationships/styles" Id="rId157" Target="styles.xml" /><Relationship Type="http://schemas.openxmlformats.org/officeDocument/2006/relationships/settings" Id="rId156" Target="settings.xml" /><Relationship Type="http://schemas.openxmlformats.org/officeDocument/2006/relationships/webSettings" Id="rId155" Target="webSettings.xml" /><Relationship Type="http://schemas.openxmlformats.org/officeDocument/2006/relationships/fontTable" Id="rId154" Target="fontTable.xml" /><Relationship Type="http://schemas.openxmlformats.org/officeDocument/2006/relationships/theme" Id="rId153" Target="theme/theme1.xml" /><Relationship Type="http://schemas.openxmlformats.org/officeDocument/2006/relationships/footnotes" Id="rId152" Target="footnotes.xml" /><Relationship Type="http://schemas.openxmlformats.org/officeDocument/2006/relationships/comments" Id="rId151" Target="comments.xml" /><Relationship Id="rId71" Target="media/rId71.png" Type="http://schemas.openxmlformats.org/officeDocument/2006/relationships/image" /><Relationship Id="rId55" Target="media/rId55.png" Type="http://schemas.openxmlformats.org/officeDocument/2006/relationships/image" /><Relationship Id="rId9" Target="media/rId9.png" Type="http://schemas.openxmlformats.org/officeDocument/2006/relationships/image" /><Relationship Id="rId38" Target="media/rId38.png" Type="http://schemas.openxmlformats.org/officeDocument/2006/relationships/image" /><Relationship Id="rId31" Target="media/rId31.png" Type="http://schemas.openxmlformats.org/officeDocument/2006/relationships/image" /><Relationship Id="rId49" Target="media/rId49.png" Type="http://schemas.openxmlformats.org/officeDocument/2006/relationships/image" /><Relationship Id="rId61" Target="media/rId61.png" Type="http://schemas.openxmlformats.org/officeDocument/2006/relationships/image" /><Relationship Id="rId17" Target="media/rId17.png" Type="http://schemas.openxmlformats.org/officeDocument/2006/relationships/image" /><Relationship Id="rId43" Target="media/rId43.png" Type="http://schemas.openxmlformats.org/officeDocument/2006/relationships/image" /><Relationship Id="rId25" Target="media/rId25.png" Type="http://schemas.openxmlformats.org/officeDocument/2006/relationships/image" /><Relationship Id="rId66" Target="media/rId66.png" Type="http://schemas.openxmlformats.org/officeDocument/2006/relationships/image" /><Relationship Id="rId75" Target="media/rId75.png" Type="http://schemas.openxmlformats.org/officeDocument/2006/relationships/image" /><Relationship Id="rId146" Target="media/rId146.png" Type="http://schemas.openxmlformats.org/officeDocument/2006/relationships/image" /><Relationship Id="rId130" Target="media/rId130.png" Type="http://schemas.openxmlformats.org/officeDocument/2006/relationships/image" /><Relationship Id="rId84" Target="media/rId84.png" Type="http://schemas.openxmlformats.org/officeDocument/2006/relationships/image" /><Relationship Id="rId113" Target="media/rId113.png" Type="http://schemas.openxmlformats.org/officeDocument/2006/relationships/image" /><Relationship Id="rId106" Target="media/rId106.png" Type="http://schemas.openxmlformats.org/officeDocument/2006/relationships/image" /><Relationship Id="rId124" Target="media/rId124.png" Type="http://schemas.openxmlformats.org/officeDocument/2006/relationships/image" /><Relationship Id="rId136" Target="media/rId136.png" Type="http://schemas.openxmlformats.org/officeDocument/2006/relationships/image" /><Relationship Id="rId92" Target="media/rId92.png" Type="http://schemas.openxmlformats.org/officeDocument/2006/relationships/image" /><Relationship Id="rId118" Target="media/rId118.png" Type="http://schemas.openxmlformats.org/officeDocument/2006/relationships/image" /><Relationship Id="rId100" Target="media/rId100.png" Type="http://schemas.openxmlformats.org/officeDocument/2006/relationships/image" /><Relationship Id="rId141" Target="media/rId141.png" Type="http://schemas.openxmlformats.org/officeDocument/2006/relationships/image" /><Relationship Id="rId150" Target="media/rId150.png" Type="http://schemas.openxmlformats.org/officeDocument/2006/relationships/image" /><Relationship Type="http://schemas.openxmlformats.org/officeDocument/2006/relationships/image" Id="rId178" Target="media/rId178.png" /><Relationship Type="http://schemas.openxmlformats.org/officeDocument/2006/relationships/image" Id="rId193" Target="media/rId193.png" /><Relationship Type="http://schemas.openxmlformats.org/officeDocument/2006/relationships/image" Id="rId159" Target="media/rId159.png" /><Relationship Type="http://schemas.openxmlformats.org/officeDocument/2006/relationships/image" Id="rId166" Target="media/rId166.png" /><Relationship Type="http://schemas.openxmlformats.org/officeDocument/2006/relationships/image" Id="rId183" Target="media/rId183.png" /><Relationship Type="http://schemas.openxmlformats.org/officeDocument/2006/relationships/image" Id="rId173" Target="media/rId173.png" /><Relationship Type="http://schemas.openxmlformats.org/officeDocument/2006/relationships/image" Id="rId188" Target="media/rId18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2026-01-26T06:16:45Z</dcterms:created>
  <dcterms:modified xsi:type="dcterms:W3CDTF">2026-01-26T06:16:45Z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